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7"/>
        <w:ind w:firstLine="0" w:firstLineChars="0"/>
        <w:jc w:val="center"/>
        <w:rPr>
          <w:rFonts w:ascii="Times New Roman" w:hAnsi="Times New Roman" w:eastAsia="方正小标宋简体"/>
          <w:bCs/>
          <w:color w:val="000000"/>
          <w:kern w:val="0"/>
          <w:sz w:val="44"/>
          <w:szCs w:val="44"/>
          <w:lang w:bidi="ar"/>
        </w:rPr>
      </w:pPr>
      <w:r>
        <w:rPr>
          <w:rFonts w:hint="eastAsia" w:ascii="Times New Roman" w:hAnsi="Times New Roman" w:eastAsia="方正小标宋简体"/>
          <w:bCs/>
          <w:color w:val="000000"/>
          <w:kern w:val="0"/>
          <w:sz w:val="44"/>
          <w:szCs w:val="44"/>
          <w:lang w:eastAsia="zh-CN" w:bidi="ar"/>
        </w:rPr>
        <w:t>附件</w:t>
      </w:r>
      <w:r>
        <w:rPr>
          <w:rFonts w:hint="eastAsia" w:ascii="Times New Roman" w:hAnsi="Times New Roman" w:eastAsia="方正小标宋简体"/>
          <w:bCs/>
          <w:color w:val="000000"/>
          <w:kern w:val="0"/>
          <w:sz w:val="44"/>
          <w:szCs w:val="44"/>
          <w:lang w:val="en-US" w:eastAsia="zh-CN" w:bidi="ar"/>
        </w:rPr>
        <w:t>1：</w:t>
      </w:r>
      <w:bookmarkStart w:id="0" w:name="_GoBack"/>
      <w:r>
        <w:rPr>
          <w:rFonts w:ascii="Times New Roman" w:hAnsi="Times New Roman" w:eastAsia="方正小标宋简体"/>
          <w:bCs/>
          <w:color w:val="000000"/>
          <w:kern w:val="0"/>
          <w:sz w:val="44"/>
          <w:szCs w:val="44"/>
          <w:lang w:bidi="ar"/>
        </w:rPr>
        <w:t>2013年度湖南省自然科学株洲联合基金验收项目清单</w:t>
      </w:r>
      <w:bookmarkEnd w:id="0"/>
    </w:p>
    <w:tbl>
      <w:tblPr>
        <w:tblStyle w:val="6"/>
        <w:tblW w:w="13988" w:type="dxa"/>
        <w:jc w:val="center"/>
        <w:tblInd w:w="0" w:type="dxa"/>
        <w:tblLayout w:type="fixed"/>
        <w:tblCellMar>
          <w:top w:w="15" w:type="dxa"/>
          <w:left w:w="15" w:type="dxa"/>
          <w:bottom w:w="15" w:type="dxa"/>
          <w:right w:w="15" w:type="dxa"/>
        </w:tblCellMar>
      </w:tblPr>
      <w:tblGrid>
        <w:gridCol w:w="640"/>
        <w:gridCol w:w="1070"/>
        <w:gridCol w:w="5711"/>
        <w:gridCol w:w="1219"/>
        <w:gridCol w:w="1871"/>
        <w:gridCol w:w="1212"/>
        <w:gridCol w:w="2265"/>
      </w:tblGrid>
      <w:tr>
        <w:tblPrEx>
          <w:tblLayout w:type="fixed"/>
          <w:tblCellMar>
            <w:top w:w="15" w:type="dxa"/>
            <w:left w:w="15" w:type="dxa"/>
            <w:bottom w:w="15" w:type="dxa"/>
            <w:right w:w="15" w:type="dxa"/>
          </w:tblCellMar>
        </w:tblPrEx>
        <w:trPr>
          <w:trHeight w:val="399" w:hRule="atLeast"/>
          <w:jc w:val="center"/>
        </w:trPr>
        <w:tc>
          <w:tcPr>
            <w:tcW w:w="640" w:type="dxa"/>
            <w:tcBorders>
              <w:top w:val="single" w:color="000000" w:sz="4" w:space="0"/>
              <w:left w:val="single" w:color="000000" w:sz="4" w:space="0"/>
              <w:right w:val="single" w:color="000000" w:sz="4" w:space="0"/>
            </w:tcBorders>
            <w:vAlign w:val="center"/>
          </w:tcPr>
          <w:p>
            <w:pPr>
              <w:jc w:val="center"/>
              <w:rPr>
                <w:rFonts w:eastAsia="楷体_GB2312"/>
                <w:b/>
                <w:sz w:val="24"/>
                <w:szCs w:val="24"/>
              </w:rPr>
            </w:pPr>
            <w:r>
              <w:rPr>
                <w:rFonts w:eastAsia="楷体_GB2312"/>
                <w:b/>
                <w:sz w:val="24"/>
                <w:szCs w:val="24"/>
              </w:rPr>
              <w:t>序号</w:t>
            </w:r>
          </w:p>
        </w:tc>
        <w:tc>
          <w:tcPr>
            <w:tcW w:w="1070" w:type="dxa"/>
            <w:tcBorders>
              <w:top w:val="single" w:color="000000" w:sz="4" w:space="0"/>
              <w:right w:val="single" w:color="000000" w:sz="4" w:space="0"/>
            </w:tcBorders>
            <w:vAlign w:val="center"/>
          </w:tcPr>
          <w:p>
            <w:pPr>
              <w:jc w:val="center"/>
              <w:rPr>
                <w:rFonts w:eastAsia="楷体_GB2312"/>
                <w:b/>
                <w:sz w:val="24"/>
                <w:szCs w:val="24"/>
              </w:rPr>
            </w:pPr>
            <w:r>
              <w:rPr>
                <w:rFonts w:eastAsia="楷体_GB2312"/>
                <w:b/>
                <w:sz w:val="24"/>
                <w:szCs w:val="24"/>
              </w:rPr>
              <w:t>项目编号</w:t>
            </w:r>
          </w:p>
        </w:tc>
        <w:tc>
          <w:tcPr>
            <w:tcW w:w="5711" w:type="dxa"/>
            <w:tcBorders>
              <w:top w:val="single" w:color="000000" w:sz="4" w:space="0"/>
              <w:left w:val="single" w:color="000000" w:sz="4" w:space="0"/>
              <w:right w:val="single" w:color="000000" w:sz="4" w:space="0"/>
            </w:tcBorders>
            <w:vAlign w:val="center"/>
          </w:tcPr>
          <w:p>
            <w:pPr>
              <w:jc w:val="center"/>
              <w:rPr>
                <w:rFonts w:eastAsia="楷体_GB2312"/>
                <w:b/>
                <w:sz w:val="24"/>
                <w:szCs w:val="24"/>
              </w:rPr>
            </w:pPr>
            <w:r>
              <w:rPr>
                <w:rFonts w:eastAsia="楷体_GB2312"/>
                <w:b/>
                <w:sz w:val="24"/>
                <w:szCs w:val="24"/>
              </w:rPr>
              <w:t>项目名称</w:t>
            </w:r>
          </w:p>
        </w:tc>
        <w:tc>
          <w:tcPr>
            <w:tcW w:w="1219" w:type="dxa"/>
            <w:tcBorders>
              <w:top w:val="single" w:color="000000" w:sz="4" w:space="0"/>
              <w:left w:val="single" w:color="000000" w:sz="4" w:space="0"/>
              <w:right w:val="single" w:color="000000" w:sz="4" w:space="0"/>
            </w:tcBorders>
            <w:vAlign w:val="center"/>
          </w:tcPr>
          <w:p>
            <w:pPr>
              <w:jc w:val="center"/>
              <w:rPr>
                <w:rFonts w:eastAsia="楷体_GB2312"/>
                <w:b/>
                <w:sz w:val="24"/>
                <w:szCs w:val="24"/>
              </w:rPr>
            </w:pPr>
            <w:r>
              <w:rPr>
                <w:rFonts w:eastAsia="楷体_GB2312"/>
                <w:b/>
                <w:sz w:val="24"/>
                <w:szCs w:val="24"/>
              </w:rPr>
              <w:t>起止年限</w:t>
            </w:r>
          </w:p>
        </w:tc>
        <w:tc>
          <w:tcPr>
            <w:tcW w:w="1871" w:type="dxa"/>
            <w:tcBorders>
              <w:top w:val="single" w:color="000000" w:sz="4" w:space="0"/>
              <w:left w:val="single" w:color="000000" w:sz="4" w:space="0"/>
              <w:right w:val="single" w:color="000000" w:sz="4" w:space="0"/>
            </w:tcBorders>
            <w:vAlign w:val="center"/>
          </w:tcPr>
          <w:p>
            <w:pPr>
              <w:jc w:val="center"/>
              <w:rPr>
                <w:rFonts w:eastAsia="楷体_GB2312"/>
                <w:b/>
                <w:sz w:val="24"/>
                <w:szCs w:val="24"/>
              </w:rPr>
            </w:pPr>
            <w:r>
              <w:rPr>
                <w:rFonts w:eastAsia="楷体_GB2312"/>
                <w:b/>
                <w:sz w:val="24"/>
                <w:szCs w:val="24"/>
              </w:rPr>
              <w:t>承担单位</w:t>
            </w:r>
          </w:p>
        </w:tc>
        <w:tc>
          <w:tcPr>
            <w:tcW w:w="1212" w:type="dxa"/>
            <w:tcBorders>
              <w:top w:val="single" w:color="000000" w:sz="4" w:space="0"/>
              <w:left w:val="single" w:color="000000" w:sz="4" w:space="0"/>
              <w:right w:val="single" w:color="auto" w:sz="4" w:space="0"/>
            </w:tcBorders>
            <w:vAlign w:val="center"/>
          </w:tcPr>
          <w:p>
            <w:pPr>
              <w:jc w:val="center"/>
              <w:rPr>
                <w:rFonts w:eastAsia="楷体_GB2312"/>
                <w:b/>
                <w:sz w:val="24"/>
                <w:szCs w:val="24"/>
              </w:rPr>
            </w:pPr>
            <w:r>
              <w:rPr>
                <w:rFonts w:eastAsia="楷体_GB2312"/>
                <w:b/>
                <w:sz w:val="24"/>
                <w:szCs w:val="24"/>
              </w:rPr>
              <w:t>项目负责人</w:t>
            </w:r>
          </w:p>
        </w:tc>
        <w:tc>
          <w:tcPr>
            <w:tcW w:w="226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sz w:val="24"/>
                <w:szCs w:val="24"/>
              </w:rPr>
            </w:pPr>
            <w:r>
              <w:rPr>
                <w:rFonts w:eastAsia="楷体_GB2312"/>
                <w:b/>
                <w:sz w:val="24"/>
                <w:szCs w:val="24"/>
              </w:rPr>
              <w:t>计划类别</w:t>
            </w:r>
          </w:p>
        </w:tc>
      </w:tr>
      <w:tr>
        <w:tblPrEx>
          <w:tblLayout w:type="fixed"/>
          <w:tblCellMar>
            <w:top w:w="15" w:type="dxa"/>
            <w:left w:w="15" w:type="dxa"/>
            <w:bottom w:w="15" w:type="dxa"/>
            <w:right w:w="15" w:type="dxa"/>
          </w:tblCellMar>
        </w:tblPrEx>
        <w:trPr>
          <w:trHeight w:val="461"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12JJ8016</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应用硅藻土处理含重金属离子废水技术研究与示范</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2012-2014</w:t>
            </w:r>
          </w:p>
        </w:tc>
        <w:tc>
          <w:tcPr>
            <w:tcW w:w="18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eastAsia="楷体_GB2312"/>
                <w:sz w:val="24"/>
                <w:szCs w:val="24"/>
              </w:rPr>
            </w:pPr>
            <w:r>
              <w:rPr>
                <w:rFonts w:eastAsia="楷体_GB2312"/>
                <w:sz w:val="24"/>
                <w:szCs w:val="24"/>
              </w:rPr>
              <w:t>中南林业科技大学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王  平</w:t>
            </w:r>
          </w:p>
        </w:tc>
        <w:tc>
          <w:tcPr>
            <w:tcW w:w="2265" w:type="dxa"/>
            <w:tcBorders>
              <w:top w:val="single" w:color="auto"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省市联合基金重点</w:t>
            </w:r>
          </w:p>
        </w:tc>
      </w:tr>
      <w:tr>
        <w:tblPrEx>
          <w:tblLayout w:type="fixed"/>
          <w:tblCellMar>
            <w:top w:w="15" w:type="dxa"/>
            <w:left w:w="15" w:type="dxa"/>
            <w:bottom w:w="15" w:type="dxa"/>
            <w:right w:w="15" w:type="dxa"/>
          </w:tblCellMar>
        </w:tblPrEx>
        <w:trPr>
          <w:trHeight w:val="436" w:hRule="exac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12JJ8019</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工业厂房空气污染综合治理研究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2012-2014</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湖南工业大学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王汉青</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省市联合基金重点</w:t>
            </w:r>
          </w:p>
        </w:tc>
      </w:tr>
      <w:tr>
        <w:tblPrEx>
          <w:tblLayout w:type="fixed"/>
          <w:tblCellMar>
            <w:top w:w="15" w:type="dxa"/>
            <w:left w:w="15" w:type="dxa"/>
            <w:bottom w:w="15" w:type="dxa"/>
            <w:right w:w="15" w:type="dxa"/>
          </w:tblCellMar>
        </w:tblPrEx>
        <w:trPr>
          <w:trHeight w:val="439"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3</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13JJ8002</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网状结构硬质合金界面钴相梯度的控制机理研究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中南大学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杜  勇</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省市联合基金重点</w:t>
            </w:r>
          </w:p>
        </w:tc>
      </w:tr>
      <w:tr>
        <w:tblPrEx>
          <w:tblLayout w:type="fixed"/>
          <w:tblCellMar>
            <w:top w:w="15" w:type="dxa"/>
            <w:left w:w="15" w:type="dxa"/>
            <w:bottom w:w="15" w:type="dxa"/>
            <w:right w:w="15" w:type="dxa"/>
          </w:tblCellMar>
        </w:tblPrEx>
        <w:trPr>
          <w:trHeight w:val="431"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4</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13JJ8003</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锌直接浸出冶炼除铜过程优化控制方法及应用</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中南大学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阳春华</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省市联合基金重点</w:t>
            </w:r>
          </w:p>
        </w:tc>
      </w:tr>
      <w:tr>
        <w:tblPrEx>
          <w:tblLayout w:type="fixed"/>
          <w:tblCellMar>
            <w:top w:w="15" w:type="dxa"/>
            <w:left w:w="15" w:type="dxa"/>
            <w:bottom w:w="15" w:type="dxa"/>
            <w:right w:w="15" w:type="dxa"/>
          </w:tblCellMar>
        </w:tblPrEx>
        <w:trPr>
          <w:trHeight w:val="437"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5</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13JJ8007</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航空发动机高温合金零件高效预应力切削关键技术研究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湘潭大学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彭锐涛</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省市联合基金重点</w:t>
            </w:r>
          </w:p>
        </w:tc>
      </w:tr>
      <w:tr>
        <w:tblPrEx>
          <w:tblLayout w:type="fixed"/>
          <w:tblCellMar>
            <w:top w:w="15" w:type="dxa"/>
            <w:left w:w="15" w:type="dxa"/>
            <w:bottom w:w="15" w:type="dxa"/>
            <w:right w:w="15" w:type="dxa"/>
          </w:tblCellMar>
        </w:tblPrEx>
        <w:trPr>
          <w:trHeight w:val="506" w:hRule="exac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6</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13JJ8024</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单晶体长晶炉高温热场钨钼材料成型机理研究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eastAsia="楷体_GB2312"/>
                <w:sz w:val="24"/>
                <w:szCs w:val="24"/>
              </w:rPr>
            </w:pPr>
            <w:r>
              <w:rPr>
                <w:rFonts w:eastAsia="楷体_GB2312"/>
                <w:sz w:val="24"/>
                <w:szCs w:val="24"/>
              </w:rPr>
              <w:t>株洲硬质合金集团有限公司</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魏修宇</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省市联合基金重点</w:t>
            </w:r>
          </w:p>
        </w:tc>
      </w:tr>
      <w:tr>
        <w:tblPrEx>
          <w:tblLayout w:type="fixed"/>
          <w:tblCellMar>
            <w:top w:w="15" w:type="dxa"/>
            <w:left w:w="15" w:type="dxa"/>
            <w:bottom w:w="15" w:type="dxa"/>
            <w:right w:w="15" w:type="dxa"/>
          </w:tblCellMar>
        </w:tblPrEx>
        <w:trPr>
          <w:trHeight w:val="421"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7</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13JJ9014</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汽车动态设计新方法研究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湖南工业大学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熊勇刚</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省市联合基金一般</w:t>
            </w:r>
          </w:p>
        </w:tc>
      </w:tr>
      <w:tr>
        <w:tblPrEx>
          <w:tblLayout w:type="fixed"/>
          <w:tblCellMar>
            <w:top w:w="15" w:type="dxa"/>
            <w:left w:w="15" w:type="dxa"/>
            <w:bottom w:w="15" w:type="dxa"/>
            <w:right w:w="15" w:type="dxa"/>
          </w:tblCellMar>
        </w:tblPrEx>
        <w:trPr>
          <w:trHeight w:val="428"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8</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13JJ9015</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微孔金属辐射顶板空调系统结构及传热特性研究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湖南工业大学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李 灿</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省市联合基金一般</w:t>
            </w:r>
          </w:p>
        </w:tc>
      </w:tr>
      <w:tr>
        <w:tblPrEx>
          <w:tblLayout w:type="fixed"/>
          <w:tblCellMar>
            <w:top w:w="15" w:type="dxa"/>
            <w:left w:w="15" w:type="dxa"/>
            <w:bottom w:w="15" w:type="dxa"/>
            <w:right w:w="15" w:type="dxa"/>
          </w:tblCellMar>
        </w:tblPrEx>
        <w:trPr>
          <w:trHeight w:val="419"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9</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13JJ9016</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交流传动电动轮自卸车动力分配机制研究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湖南工业大学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凌 云</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省市联合基金一般</w:t>
            </w:r>
          </w:p>
        </w:tc>
      </w:tr>
      <w:tr>
        <w:tblPrEx>
          <w:tblLayout w:type="fixed"/>
          <w:tblCellMar>
            <w:top w:w="15" w:type="dxa"/>
            <w:left w:w="15" w:type="dxa"/>
            <w:bottom w:w="15" w:type="dxa"/>
            <w:right w:w="15" w:type="dxa"/>
          </w:tblCellMar>
        </w:tblPrEx>
        <w:trPr>
          <w:trHeight w:val="252"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10</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13JJ9017</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风电机组最优功率控制策略研究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湖南工业大学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于惠钧</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省市联合基金一般</w:t>
            </w:r>
          </w:p>
        </w:tc>
      </w:tr>
      <w:tr>
        <w:tblPrEx>
          <w:tblLayout w:type="fixed"/>
          <w:tblCellMar>
            <w:top w:w="15" w:type="dxa"/>
            <w:left w:w="15" w:type="dxa"/>
            <w:bottom w:w="15" w:type="dxa"/>
            <w:right w:w="15" w:type="dxa"/>
          </w:tblCellMar>
        </w:tblPrEx>
        <w:trPr>
          <w:trHeight w:val="244"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11</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13JJ9033</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室内细颗粒物PM2.5的传播与沉积机理研究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湖南工业大学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向立平</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省市联合基金一般</w:t>
            </w:r>
          </w:p>
        </w:tc>
      </w:tr>
      <w:tr>
        <w:tblPrEx>
          <w:tblLayout w:type="fixed"/>
          <w:tblCellMar>
            <w:top w:w="15" w:type="dxa"/>
            <w:left w:w="15" w:type="dxa"/>
            <w:bottom w:w="15" w:type="dxa"/>
            <w:right w:w="15" w:type="dxa"/>
          </w:tblCellMar>
        </w:tblPrEx>
        <w:trPr>
          <w:trHeight w:val="295" w:hRule="exac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12</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13JJ9034</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基于卧辊磨的转炉钢渣回收利用关键技术研究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湖南工业大学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张柱银</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省市联合基金一般</w:t>
            </w:r>
          </w:p>
        </w:tc>
      </w:tr>
      <w:tr>
        <w:tblPrEx>
          <w:tblLayout w:type="fixed"/>
          <w:tblCellMar>
            <w:top w:w="15" w:type="dxa"/>
            <w:left w:w="15" w:type="dxa"/>
            <w:bottom w:w="15" w:type="dxa"/>
            <w:right w:w="15" w:type="dxa"/>
          </w:tblCellMar>
        </w:tblPrEx>
        <w:trPr>
          <w:trHeight w:val="387"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w:t>
            </w:r>
          </w:p>
        </w:tc>
        <w:tc>
          <w:tcPr>
            <w:tcW w:w="1070"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13JJ9035</w:t>
            </w:r>
          </w:p>
        </w:tc>
        <w:tc>
          <w:tcPr>
            <w:tcW w:w="5711" w:type="dxa"/>
            <w:tcBorders>
              <w:top w:val="single" w:color="000000" w:sz="4" w:space="0"/>
              <w:left w:val="single" w:color="000000" w:sz="4" w:space="0"/>
              <w:bottom w:val="single" w:color="000000" w:sz="4" w:space="0"/>
              <w:right w:val="single" w:color="000000" w:sz="4" w:space="0"/>
            </w:tcBorders>
            <w:vAlign w:val="center"/>
          </w:tcPr>
          <w:p>
            <w:pPr>
              <w:rPr>
                <w:rFonts w:eastAsia="楷体_GB2312"/>
                <w:sz w:val="24"/>
                <w:szCs w:val="24"/>
              </w:rPr>
            </w:pPr>
            <w:r>
              <w:rPr>
                <w:rFonts w:eastAsia="楷体_GB2312"/>
                <w:sz w:val="24"/>
                <w:szCs w:val="24"/>
              </w:rPr>
              <w:t>建筑防水围护材料性能稳定机理研究</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湖南工业大学</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黄春华</w:t>
            </w:r>
          </w:p>
        </w:tc>
        <w:tc>
          <w:tcPr>
            <w:tcW w:w="2265" w:type="dxa"/>
            <w:tcBorders>
              <w:top w:val="single" w:color="000000" w:sz="4" w:space="0"/>
              <w:left w:val="single" w:color="000000" w:sz="4" w:space="0"/>
              <w:bottom w:val="single" w:color="000000" w:sz="4" w:space="0"/>
              <w:right w:val="single" w:color="000000" w:sz="4" w:space="0"/>
            </w:tcBorders>
            <w:vAlign w:val="center"/>
          </w:tcPr>
          <w:p>
            <w:pPr>
              <w:jc w:val="center"/>
              <w:rPr>
                <w:rFonts w:eastAsia="楷体_GB2312"/>
                <w:sz w:val="24"/>
                <w:szCs w:val="24"/>
              </w:rPr>
            </w:pPr>
            <w:r>
              <w:rPr>
                <w:rFonts w:eastAsia="楷体_GB2312"/>
                <w:sz w:val="24"/>
                <w:szCs w:val="24"/>
              </w:rPr>
              <w:t>省市联合基金一般</w:t>
            </w:r>
          </w:p>
        </w:tc>
      </w:tr>
      <w:tr>
        <w:tblPrEx>
          <w:tblLayout w:type="fixed"/>
          <w:tblCellMar>
            <w:top w:w="15" w:type="dxa"/>
            <w:left w:w="15" w:type="dxa"/>
            <w:bottom w:w="15" w:type="dxa"/>
            <w:right w:w="15" w:type="dxa"/>
          </w:tblCellMar>
        </w:tblPrEx>
        <w:trPr>
          <w:trHeight w:val="501" w:hRule="exact"/>
          <w:jc w:val="center"/>
        </w:trPr>
        <w:tc>
          <w:tcPr>
            <w:tcW w:w="640" w:type="dxa"/>
            <w:tcBorders>
              <w:top w:val="single" w:color="000000" w:sz="4" w:space="0"/>
              <w:left w:val="single" w:color="000000"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14</w:t>
            </w:r>
          </w:p>
        </w:tc>
        <w:tc>
          <w:tcPr>
            <w:tcW w:w="1070" w:type="dxa"/>
            <w:tcBorders>
              <w:top w:val="single" w:color="000000" w:sz="4" w:space="0"/>
              <w:left w:val="single" w:color="000000"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13JJ9037</w:t>
            </w:r>
          </w:p>
        </w:tc>
        <w:tc>
          <w:tcPr>
            <w:tcW w:w="571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eastAsia="楷体_GB2312"/>
                <w:sz w:val="24"/>
                <w:szCs w:val="24"/>
              </w:rPr>
            </w:pPr>
            <w:r>
              <w:rPr>
                <w:rFonts w:eastAsia="楷体_GB2312"/>
                <w:sz w:val="24"/>
                <w:szCs w:val="24"/>
              </w:rPr>
              <w:t>基于服役非线性模型的高速列车油压减振器集成优化设计理论与方法</w:t>
            </w:r>
          </w:p>
        </w:tc>
        <w:tc>
          <w:tcPr>
            <w:tcW w:w="1219" w:type="dxa"/>
            <w:tcBorders>
              <w:top w:val="single" w:color="000000" w:sz="4" w:space="0"/>
              <w:left w:val="single" w:color="000000"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000000" w:sz="4" w:space="0"/>
              <w:left w:val="single" w:color="000000"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湖南大学</w:t>
            </w:r>
          </w:p>
        </w:tc>
        <w:tc>
          <w:tcPr>
            <w:tcW w:w="1212" w:type="dxa"/>
            <w:tcBorders>
              <w:top w:val="single" w:color="000000" w:sz="4" w:space="0"/>
              <w:left w:val="single" w:color="000000"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王文林</w:t>
            </w:r>
          </w:p>
        </w:tc>
        <w:tc>
          <w:tcPr>
            <w:tcW w:w="2265" w:type="dxa"/>
            <w:tcBorders>
              <w:top w:val="single" w:color="000000" w:sz="4" w:space="0"/>
              <w:left w:val="single" w:color="000000"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省市联合基金一般</w:t>
            </w:r>
          </w:p>
        </w:tc>
      </w:tr>
      <w:tr>
        <w:tblPrEx>
          <w:tblLayout w:type="fixed"/>
          <w:tblCellMar>
            <w:top w:w="15" w:type="dxa"/>
            <w:left w:w="15" w:type="dxa"/>
            <w:bottom w:w="15" w:type="dxa"/>
            <w:right w:w="15" w:type="dxa"/>
          </w:tblCellMar>
        </w:tblPrEx>
        <w:trPr>
          <w:trHeight w:val="227" w:hRule="atLeast"/>
          <w:jc w:val="center"/>
        </w:trPr>
        <w:tc>
          <w:tcPr>
            <w:tcW w:w="640" w:type="dxa"/>
            <w:tcBorders>
              <w:top w:val="single" w:color="auto" w:sz="4" w:space="0"/>
              <w:left w:val="single" w:color="auto"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15</w:t>
            </w:r>
          </w:p>
        </w:tc>
        <w:tc>
          <w:tcPr>
            <w:tcW w:w="1070" w:type="dxa"/>
            <w:tcBorders>
              <w:top w:val="single" w:color="auto" w:sz="4" w:space="0"/>
              <w:left w:val="single" w:color="000000"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13JJ9038</w:t>
            </w:r>
          </w:p>
        </w:tc>
        <w:tc>
          <w:tcPr>
            <w:tcW w:w="571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eastAsia="楷体_GB2312"/>
                <w:sz w:val="24"/>
                <w:szCs w:val="24"/>
              </w:rPr>
            </w:pPr>
            <w:r>
              <w:rPr>
                <w:rFonts w:eastAsia="楷体_GB2312"/>
                <w:sz w:val="24"/>
                <w:szCs w:val="24"/>
              </w:rPr>
              <w:t>恶劣气候下的兆瓦级风力发电机组预测健康管理关键技术研究</w:t>
            </w:r>
          </w:p>
        </w:tc>
        <w:tc>
          <w:tcPr>
            <w:tcW w:w="1219" w:type="dxa"/>
            <w:tcBorders>
              <w:top w:val="single" w:color="auto" w:sz="4" w:space="0"/>
              <w:left w:val="single" w:color="000000"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2013-2015</w:t>
            </w:r>
          </w:p>
        </w:tc>
        <w:tc>
          <w:tcPr>
            <w:tcW w:w="1871" w:type="dxa"/>
            <w:tcBorders>
              <w:top w:val="single" w:color="auto" w:sz="4" w:space="0"/>
              <w:left w:val="single" w:color="000000"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中南大学</w:t>
            </w:r>
          </w:p>
        </w:tc>
        <w:tc>
          <w:tcPr>
            <w:tcW w:w="1212" w:type="dxa"/>
            <w:tcBorders>
              <w:top w:val="single" w:color="auto" w:sz="4" w:space="0"/>
              <w:left w:val="single" w:color="000000" w:sz="4" w:space="0"/>
              <w:bottom w:val="single" w:color="auto" w:sz="4" w:space="0"/>
              <w:right w:val="single" w:color="000000" w:sz="4" w:space="0"/>
            </w:tcBorders>
            <w:vAlign w:val="center"/>
          </w:tcPr>
          <w:p>
            <w:pPr>
              <w:jc w:val="center"/>
              <w:rPr>
                <w:rFonts w:eastAsia="楷体_GB2312"/>
                <w:sz w:val="24"/>
                <w:szCs w:val="24"/>
              </w:rPr>
            </w:pPr>
            <w:r>
              <w:rPr>
                <w:rFonts w:eastAsia="楷体_GB2312"/>
                <w:sz w:val="24"/>
                <w:szCs w:val="24"/>
              </w:rPr>
              <w:t>胡志坤</w:t>
            </w:r>
          </w:p>
        </w:tc>
        <w:tc>
          <w:tcPr>
            <w:tcW w:w="2265" w:type="dxa"/>
            <w:tcBorders>
              <w:top w:val="single" w:color="auto" w:sz="4" w:space="0"/>
              <w:left w:val="single" w:color="000000" w:sz="4" w:space="0"/>
              <w:bottom w:val="single" w:color="auto" w:sz="4" w:space="0"/>
              <w:right w:val="single" w:color="auto" w:sz="4" w:space="0"/>
            </w:tcBorders>
            <w:vAlign w:val="center"/>
          </w:tcPr>
          <w:p>
            <w:pPr>
              <w:jc w:val="center"/>
              <w:rPr>
                <w:rFonts w:eastAsia="楷体_GB2312"/>
                <w:sz w:val="24"/>
                <w:szCs w:val="24"/>
              </w:rPr>
            </w:pPr>
            <w:r>
              <w:rPr>
                <w:rFonts w:eastAsia="楷体_GB2312"/>
                <w:sz w:val="24"/>
                <w:szCs w:val="24"/>
              </w:rPr>
              <w:t>省市联合基金一般</w:t>
            </w:r>
          </w:p>
        </w:tc>
      </w:tr>
    </w:tbl>
    <w:p>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Fonts w:ascii="宋体" w:hAnsi="宋体" w:eastAsia="宋体"/>
        <w:sz w:val="28"/>
        <w:szCs w:val="28"/>
      </w:rPr>
    </w:pP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lang w:val="zh-CN" w:eastAsia="zh-CN"/>
      </w:rPr>
      <w:t>- 7 -</w:t>
    </w:r>
    <w:r>
      <w:rPr>
        <w:rFonts w:ascii="宋体" w:hAnsi="宋体" w:eastAsia="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A1097"/>
    <w:rsid w:val="275A109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列出段落"/>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2016-02-01T07:21:00Z</dcterms:created>
  <dc:creator>skl</dc:creator>
  <cp:lastModifiedBy>skl</cp:lastModifiedBy>
  <dcterms:modified xsi:type="dcterms:W3CDTF">2016-02-01T07:29:48Z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